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64DE" w14:textId="77777777" w:rsidR="00264346" w:rsidRPr="005437E2" w:rsidRDefault="00A44791" w:rsidP="00EE43CB">
      <w:pPr>
        <w:spacing w:after="0" w:line="240" w:lineRule="auto"/>
        <w:ind w:left="6237" w:firstLine="0"/>
        <w:rPr>
          <w:rFonts w:ascii="Times New Roman" w:hAnsi="Times New Roman" w:cs="Times New Roman"/>
          <w:b/>
        </w:rPr>
      </w:pPr>
      <w:r w:rsidRPr="005437E2">
        <w:rPr>
          <w:rFonts w:ascii="Times New Roman" w:hAnsi="Times New Roman" w:cs="Times New Roman"/>
          <w:b/>
        </w:rPr>
        <w:t>УТВЕРЖДЕН</w:t>
      </w:r>
    </w:p>
    <w:p w14:paraId="0D4D6468" w14:textId="77777777" w:rsidR="00E52409" w:rsidRDefault="00013ABA" w:rsidP="00EE43CB">
      <w:pPr>
        <w:spacing w:after="0" w:line="240" w:lineRule="auto"/>
        <w:ind w:left="6237" w:firstLine="0"/>
        <w:rPr>
          <w:rFonts w:ascii="Times New Roman" w:hAnsi="Times New Roman" w:cs="Times New Roman"/>
          <w:b/>
        </w:rPr>
      </w:pPr>
      <w:r>
        <w:rPr>
          <w:rFonts w:ascii="Times New Roman" w:hAnsi="Times New Roman" w:cs="Times New Roman"/>
          <w:b/>
        </w:rPr>
        <w:t>Генеральным д</w:t>
      </w:r>
      <w:r w:rsidR="00512762">
        <w:rPr>
          <w:rFonts w:ascii="Times New Roman" w:hAnsi="Times New Roman" w:cs="Times New Roman"/>
          <w:b/>
        </w:rPr>
        <w:t>иректором</w:t>
      </w:r>
      <w:r w:rsidR="00EE43CB">
        <w:rPr>
          <w:rFonts w:ascii="Times New Roman" w:hAnsi="Times New Roman" w:cs="Times New Roman"/>
          <w:b/>
        </w:rPr>
        <w:t xml:space="preserve"> </w:t>
      </w:r>
    </w:p>
    <w:p w14:paraId="6D118F65" w14:textId="77777777" w:rsidR="00A44791" w:rsidRPr="005437E2" w:rsidRDefault="00013ABA" w:rsidP="00EE43CB">
      <w:pPr>
        <w:spacing w:after="0" w:line="240" w:lineRule="auto"/>
        <w:ind w:left="6237" w:firstLine="0"/>
        <w:rPr>
          <w:rFonts w:ascii="Times New Roman" w:hAnsi="Times New Roman" w:cs="Times New Roman"/>
          <w:b/>
        </w:rPr>
      </w:pPr>
      <w:r>
        <w:rPr>
          <w:rFonts w:ascii="Times New Roman" w:hAnsi="Times New Roman" w:cs="Times New Roman"/>
          <w:b/>
        </w:rPr>
        <w:t>АО «</w:t>
      </w:r>
      <w:r w:rsidR="0003787C">
        <w:rPr>
          <w:rFonts w:ascii="Times New Roman" w:hAnsi="Times New Roman" w:cs="Times New Roman"/>
          <w:b/>
        </w:rPr>
        <w:t>Лазерные системы</w:t>
      </w:r>
      <w:r>
        <w:rPr>
          <w:rFonts w:ascii="Times New Roman" w:hAnsi="Times New Roman" w:cs="Times New Roman"/>
          <w:b/>
        </w:rPr>
        <w:t>»</w:t>
      </w:r>
    </w:p>
    <w:p w14:paraId="55B6F693" w14:textId="5CEE2296" w:rsidR="00A44791" w:rsidRPr="005437E2" w:rsidRDefault="00A44791" w:rsidP="00EE43CB">
      <w:pPr>
        <w:spacing w:after="0" w:line="240" w:lineRule="auto"/>
        <w:ind w:left="6237" w:firstLine="0"/>
        <w:rPr>
          <w:rFonts w:ascii="Times New Roman" w:hAnsi="Times New Roman" w:cs="Times New Roman"/>
          <w:b/>
        </w:rPr>
      </w:pPr>
      <w:r w:rsidRPr="00A97B3B">
        <w:rPr>
          <w:rFonts w:ascii="Times New Roman" w:hAnsi="Times New Roman" w:cs="Times New Roman"/>
          <w:b/>
        </w:rPr>
        <w:t xml:space="preserve">(Приказ № </w:t>
      </w:r>
      <w:r w:rsidR="005006DA">
        <w:rPr>
          <w:rFonts w:ascii="Times New Roman" w:hAnsi="Times New Roman" w:cs="Times New Roman"/>
          <w:b/>
        </w:rPr>
        <w:t>ПР-2024/09/2</w:t>
      </w:r>
      <w:r w:rsidR="00013ABA">
        <w:rPr>
          <w:rFonts w:ascii="Times New Roman" w:hAnsi="Times New Roman" w:cs="Times New Roman"/>
          <w:b/>
        </w:rPr>
        <w:t xml:space="preserve"> </w:t>
      </w:r>
      <w:r w:rsidRPr="00A97B3B">
        <w:rPr>
          <w:rFonts w:ascii="Times New Roman" w:hAnsi="Times New Roman" w:cs="Times New Roman"/>
          <w:b/>
        </w:rPr>
        <w:t>от</w:t>
      </w:r>
      <w:r w:rsidR="004436A1">
        <w:rPr>
          <w:rFonts w:ascii="Times New Roman" w:hAnsi="Times New Roman" w:cs="Times New Roman"/>
          <w:b/>
        </w:rPr>
        <w:t xml:space="preserve"> </w:t>
      </w:r>
      <w:r w:rsidR="00AA73DB">
        <w:rPr>
          <w:rFonts w:ascii="Times New Roman" w:hAnsi="Times New Roman" w:cs="Times New Roman"/>
          <w:b/>
        </w:rPr>
        <w:t>06</w:t>
      </w:r>
      <w:r w:rsidR="0003787C">
        <w:rPr>
          <w:rFonts w:ascii="Times New Roman" w:hAnsi="Times New Roman" w:cs="Times New Roman"/>
          <w:b/>
        </w:rPr>
        <w:t>.09</w:t>
      </w:r>
      <w:r w:rsidR="00AA350D">
        <w:rPr>
          <w:rFonts w:ascii="Times New Roman" w:hAnsi="Times New Roman" w:cs="Times New Roman"/>
          <w:b/>
        </w:rPr>
        <w:t>.2024</w:t>
      </w:r>
      <w:r w:rsidRPr="00A97B3B">
        <w:rPr>
          <w:rFonts w:ascii="Times New Roman" w:hAnsi="Times New Roman" w:cs="Times New Roman"/>
          <w:b/>
        </w:rPr>
        <w:t>)</w:t>
      </w:r>
    </w:p>
    <w:p w14:paraId="671E39FF" w14:textId="77777777" w:rsidR="00A44791" w:rsidRPr="005437E2" w:rsidRDefault="00A44791" w:rsidP="00A44791">
      <w:pPr>
        <w:spacing w:after="0" w:line="240" w:lineRule="auto"/>
        <w:ind w:firstLine="6237"/>
        <w:rPr>
          <w:rFonts w:ascii="Times New Roman" w:hAnsi="Times New Roman" w:cs="Times New Roman"/>
          <w:b/>
        </w:rPr>
      </w:pPr>
    </w:p>
    <w:p w14:paraId="0DA3C840" w14:textId="77777777" w:rsidR="00A44791" w:rsidRPr="005437E2" w:rsidRDefault="00A44791" w:rsidP="00A44791">
      <w:pPr>
        <w:spacing w:after="0" w:line="240" w:lineRule="auto"/>
        <w:ind w:firstLine="6237"/>
        <w:rPr>
          <w:rFonts w:ascii="Times New Roman" w:hAnsi="Times New Roman" w:cs="Times New Roman"/>
          <w:b/>
        </w:rPr>
      </w:pPr>
    </w:p>
    <w:p w14:paraId="5F460635" w14:textId="77777777" w:rsidR="00A44791" w:rsidRPr="005437E2" w:rsidRDefault="00A44791" w:rsidP="00AA73DB">
      <w:pPr>
        <w:spacing w:after="0" w:line="240" w:lineRule="auto"/>
        <w:ind w:firstLine="567"/>
        <w:jc w:val="center"/>
        <w:rPr>
          <w:rFonts w:ascii="Times New Roman" w:hAnsi="Times New Roman" w:cs="Times New Roman"/>
          <w:b/>
        </w:rPr>
      </w:pPr>
      <w:r w:rsidRPr="005437E2">
        <w:rPr>
          <w:rFonts w:ascii="Times New Roman" w:hAnsi="Times New Roman" w:cs="Times New Roman"/>
          <w:b/>
        </w:rPr>
        <w:t xml:space="preserve">СОБСТВЕННЫЙ ПЕРЕЧЕНЬ </w:t>
      </w:r>
    </w:p>
    <w:p w14:paraId="1C68F99F" w14:textId="77777777" w:rsidR="00081881" w:rsidRDefault="00A44791" w:rsidP="00AA73DB">
      <w:pPr>
        <w:spacing w:after="0" w:line="240" w:lineRule="auto"/>
        <w:ind w:firstLine="567"/>
        <w:jc w:val="center"/>
        <w:rPr>
          <w:rFonts w:ascii="Times New Roman" w:hAnsi="Times New Roman" w:cs="Times New Roman"/>
          <w:b/>
        </w:rPr>
      </w:pPr>
      <w:r w:rsidRPr="005437E2">
        <w:rPr>
          <w:rFonts w:ascii="Times New Roman" w:hAnsi="Times New Roman" w:cs="Times New Roman"/>
          <w:b/>
        </w:rPr>
        <w:t xml:space="preserve">ИНСАЙДЕРСКОЙ ИНФОРМАЦИИ </w:t>
      </w:r>
    </w:p>
    <w:p w14:paraId="023CFE7D" w14:textId="77777777" w:rsidR="00A44791" w:rsidRDefault="006E63DC" w:rsidP="00AA73DB">
      <w:pPr>
        <w:spacing w:after="0" w:line="240" w:lineRule="auto"/>
        <w:ind w:firstLine="567"/>
        <w:jc w:val="center"/>
        <w:rPr>
          <w:rFonts w:ascii="Times New Roman" w:hAnsi="Times New Roman" w:cs="Times New Roman"/>
          <w:b/>
        </w:rPr>
      </w:pPr>
      <w:r>
        <w:rPr>
          <w:rFonts w:ascii="Times New Roman" w:hAnsi="Times New Roman" w:cs="Times New Roman"/>
          <w:b/>
        </w:rPr>
        <w:t>АО «</w:t>
      </w:r>
      <w:r w:rsidR="0003787C">
        <w:rPr>
          <w:rFonts w:ascii="Times New Roman" w:hAnsi="Times New Roman" w:cs="Times New Roman"/>
          <w:b/>
        </w:rPr>
        <w:t>ЛАЗЕРНЫЕ СИСТЕМЫ</w:t>
      </w:r>
      <w:r>
        <w:rPr>
          <w:rFonts w:ascii="Times New Roman" w:hAnsi="Times New Roman" w:cs="Times New Roman"/>
          <w:b/>
        </w:rPr>
        <w:t>»</w:t>
      </w:r>
    </w:p>
    <w:p w14:paraId="78FBBDF3" w14:textId="77777777" w:rsidR="004436A1" w:rsidRPr="005437E2" w:rsidRDefault="004436A1" w:rsidP="00A44791">
      <w:pPr>
        <w:spacing w:after="0" w:line="240" w:lineRule="auto"/>
        <w:ind w:firstLine="567"/>
        <w:jc w:val="center"/>
        <w:rPr>
          <w:rFonts w:ascii="Times New Roman" w:hAnsi="Times New Roman" w:cs="Times New Roman"/>
          <w:b/>
        </w:rPr>
      </w:pPr>
    </w:p>
    <w:p w14:paraId="6CB30A7D" w14:textId="77777777" w:rsidR="00A44791" w:rsidRPr="005437E2" w:rsidRDefault="00A44791" w:rsidP="00A44791">
      <w:pPr>
        <w:spacing w:after="0" w:line="240" w:lineRule="auto"/>
        <w:ind w:firstLine="567"/>
        <w:jc w:val="center"/>
        <w:rPr>
          <w:rFonts w:ascii="Times New Roman" w:hAnsi="Times New Roman" w:cs="Times New Roman"/>
          <w:b/>
        </w:rPr>
      </w:pPr>
    </w:p>
    <w:p w14:paraId="2BA64DE1" w14:textId="77777777" w:rsidR="007B5B32" w:rsidRPr="005437E2" w:rsidRDefault="007B5B32" w:rsidP="00543891">
      <w:pPr>
        <w:jc w:val="both"/>
        <w:rPr>
          <w:rFonts w:ascii="Times New Roman" w:hAnsi="Times New Roman" w:cs="Times New Roman"/>
          <w:b/>
        </w:rPr>
      </w:pPr>
      <w:r w:rsidRPr="005437E2">
        <w:rPr>
          <w:rFonts w:ascii="Times New Roman" w:hAnsi="Times New Roman" w:cs="Times New Roman"/>
          <w:b/>
        </w:rPr>
        <w:t xml:space="preserve">1. Общие положения </w:t>
      </w:r>
    </w:p>
    <w:p w14:paraId="26067CF1" w14:textId="77777777" w:rsidR="00543891" w:rsidRPr="005437E2" w:rsidRDefault="00A44791" w:rsidP="00543891">
      <w:pPr>
        <w:jc w:val="both"/>
        <w:rPr>
          <w:rFonts w:ascii="Times New Roman" w:eastAsia="Times New Roman" w:hAnsi="Times New Roman" w:cs="Times New Roman"/>
          <w:lang w:eastAsia="ru-RU"/>
        </w:rPr>
      </w:pPr>
      <w:r w:rsidRPr="005437E2">
        <w:rPr>
          <w:rFonts w:ascii="Times New Roman" w:hAnsi="Times New Roman" w:cs="Times New Roman"/>
        </w:rPr>
        <w:t xml:space="preserve">Настоящий Собственный перечень инсайдерской информации (далее – Перечень) </w:t>
      </w:r>
      <w:r w:rsidR="00013ABA">
        <w:rPr>
          <w:rFonts w:ascii="Times New Roman" w:hAnsi="Times New Roman" w:cs="Times New Roman"/>
          <w:b/>
        </w:rPr>
        <w:t>Акционерного общества «</w:t>
      </w:r>
      <w:r w:rsidR="0003787C">
        <w:rPr>
          <w:rFonts w:ascii="Times New Roman" w:hAnsi="Times New Roman" w:cs="Times New Roman"/>
          <w:b/>
        </w:rPr>
        <w:t>Лазерные системы</w:t>
      </w:r>
      <w:r w:rsidR="00AA350D">
        <w:rPr>
          <w:rFonts w:ascii="Times New Roman" w:hAnsi="Times New Roman" w:cs="Times New Roman"/>
          <w:b/>
        </w:rPr>
        <w:t>»</w:t>
      </w:r>
      <w:r w:rsidRPr="005437E2">
        <w:rPr>
          <w:rFonts w:ascii="Times New Roman" w:hAnsi="Times New Roman" w:cs="Times New Roman"/>
        </w:rPr>
        <w:t xml:space="preserve"> (далее – Общество, эмитент) составлен в соответствии с требованиями Федерального закона от 27.07.2010 № 224-ФЗ «О противодействии </w:t>
      </w:r>
      <w:r w:rsidR="00543891" w:rsidRPr="005437E2">
        <w:rPr>
          <w:rFonts w:ascii="Times New Roman" w:hAnsi="Times New Roman" w:cs="Times New Roman"/>
        </w:rPr>
        <w:t xml:space="preserve">неправомерному </w:t>
      </w:r>
      <w:r w:rsidRPr="005437E2">
        <w:rPr>
          <w:rFonts w:ascii="Times New Roman" w:hAnsi="Times New Roman" w:cs="Times New Roman"/>
        </w:rPr>
        <w:t xml:space="preserve">использованию инсайдерской информации и манипулированию рынком и о внесении изменений в отдельные законодательные акты Российской Федерации», Указанием Банка России </w:t>
      </w:r>
      <w:r w:rsidR="00543891" w:rsidRPr="005437E2">
        <w:rPr>
          <w:rFonts w:ascii="Times New Roman" w:hAnsi="Times New Roman" w:cs="Times New Roman"/>
        </w:rPr>
        <w:t xml:space="preserve">от 27.09.2021 № 5946-У </w:t>
      </w:r>
      <w:r w:rsidR="00543891" w:rsidRPr="005437E2">
        <w:rPr>
          <w:rFonts w:ascii="Times New Roman" w:eastAsia="Times New Roman" w:hAnsi="Times New Roman" w:cs="Times New Roman"/>
          <w:lang w:eastAsia="ru-RU"/>
        </w:rPr>
        <w:t xml:space="preserve">"О перечне инсайдерской информации юридических лиц, указанных в пунктах 1, 3, 4, 11 и 12 статьи 4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 и содержит исчерпывающие сведения об инсайдерской информации Общества. </w:t>
      </w:r>
    </w:p>
    <w:p w14:paraId="61F3F8F9" w14:textId="77777777" w:rsidR="00FD7F96" w:rsidRPr="005437E2" w:rsidRDefault="00FD7F96"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Инсайдерская информация – точная и конкретная информация, которая не была распространена, и распространение которой может оказать существенное влияние на цены финансовых инструментов, иностранной валюты и (или) товаров. </w:t>
      </w:r>
    </w:p>
    <w:p w14:paraId="67A356F9" w14:textId="77777777"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К инсайдерской информации не относятся:</w:t>
      </w:r>
    </w:p>
    <w:p w14:paraId="004C8B97" w14:textId="77777777"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1) сведения, ставшие доступными неограниченному кругу лиц, в том числе в результате их распространения;</w:t>
      </w:r>
    </w:p>
    <w:p w14:paraId="1393E05F" w14:textId="77777777"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2) осуществленные на основе общедоступной информации исследования, прогнозы и оценки в отношении финансовых инструментов, </w:t>
      </w:r>
      <w:r w:rsidR="00A1613E" w:rsidRPr="005437E2">
        <w:rPr>
          <w:rFonts w:ascii="Times New Roman" w:eastAsia="Times New Roman" w:hAnsi="Times New Roman" w:cs="Times New Roman"/>
          <w:lang w:eastAsia="ru-RU"/>
        </w:rPr>
        <w:t xml:space="preserve">иностранной валюты и (или) товаров, а также рекомендации и (или) предложения об осуществлении операций с финансовыми инструментами, иностранной валютой и (или) товарами. </w:t>
      </w:r>
      <w:r w:rsidR="005124AD" w:rsidRPr="005437E2">
        <w:rPr>
          <w:rFonts w:ascii="Times New Roman" w:eastAsia="Times New Roman" w:hAnsi="Times New Roman" w:cs="Times New Roman"/>
          <w:lang w:eastAsia="ru-RU"/>
        </w:rPr>
        <w:t xml:space="preserve">  </w:t>
      </w:r>
    </w:p>
    <w:p w14:paraId="2B135F0D" w14:textId="77777777" w:rsidR="008F34D4" w:rsidRPr="005437E2" w:rsidRDefault="008F34D4"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В Собственный перечень инсайдерской информации Общества включается</w:t>
      </w:r>
      <w:r w:rsidR="00FD7F96" w:rsidRPr="005437E2">
        <w:rPr>
          <w:rFonts w:ascii="Times New Roman" w:eastAsia="Times New Roman" w:hAnsi="Times New Roman" w:cs="Times New Roman"/>
          <w:lang w:eastAsia="ru-RU"/>
        </w:rPr>
        <w:t xml:space="preserve">, в том </w:t>
      </w:r>
      <w:proofErr w:type="gramStart"/>
      <w:r w:rsidR="00FD7F96" w:rsidRPr="005437E2">
        <w:rPr>
          <w:rFonts w:ascii="Times New Roman" w:eastAsia="Times New Roman" w:hAnsi="Times New Roman" w:cs="Times New Roman"/>
          <w:lang w:eastAsia="ru-RU"/>
        </w:rPr>
        <w:t xml:space="preserve">числе, </w:t>
      </w:r>
      <w:r w:rsidRPr="005437E2">
        <w:rPr>
          <w:rFonts w:ascii="Times New Roman" w:eastAsia="Times New Roman" w:hAnsi="Times New Roman" w:cs="Times New Roman"/>
          <w:lang w:eastAsia="ru-RU"/>
        </w:rPr>
        <w:t xml:space="preserve"> инсайдерская</w:t>
      </w:r>
      <w:proofErr w:type="gramEnd"/>
      <w:r w:rsidRPr="005437E2">
        <w:rPr>
          <w:rFonts w:ascii="Times New Roman" w:eastAsia="Times New Roman" w:hAnsi="Times New Roman" w:cs="Times New Roman"/>
          <w:lang w:eastAsia="ru-RU"/>
        </w:rPr>
        <w:t xml:space="preserve"> информация, перечень которой утверждается нормативным актом Банка России, с учетом особенностей деятельности Общества. </w:t>
      </w:r>
      <w:r w:rsidR="00B75AF2" w:rsidRPr="005437E2">
        <w:rPr>
          <w:rFonts w:ascii="Times New Roman" w:eastAsia="Times New Roman" w:hAnsi="Times New Roman" w:cs="Times New Roman"/>
          <w:lang w:eastAsia="ru-RU"/>
        </w:rPr>
        <w:t xml:space="preserve">Перечень утверждается лицом, осуществляющим функции единоличного исполнительного органа. </w:t>
      </w:r>
    </w:p>
    <w:p w14:paraId="213242F5" w14:textId="77777777" w:rsidR="000C31BE" w:rsidRPr="005437E2" w:rsidRDefault="000C31BE" w:rsidP="000C31BE">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Собственный перечень инсайдерской информации Общества подлежит пересмотру в случае изменения нормативных актов Банка России</w:t>
      </w:r>
      <w:r w:rsidR="00FD7F96" w:rsidRPr="005437E2">
        <w:rPr>
          <w:rFonts w:ascii="Times New Roman" w:eastAsia="Times New Roman" w:hAnsi="Times New Roman" w:cs="Times New Roman"/>
          <w:lang w:eastAsia="ru-RU"/>
        </w:rPr>
        <w:t>,</w:t>
      </w:r>
      <w:r w:rsidR="007B5B32" w:rsidRPr="005437E2">
        <w:rPr>
          <w:rFonts w:ascii="Times New Roman" w:eastAsia="Times New Roman" w:hAnsi="Times New Roman" w:cs="Times New Roman"/>
          <w:lang w:eastAsia="ru-RU"/>
        </w:rPr>
        <w:t xml:space="preserve"> либо в</w:t>
      </w:r>
      <w:r w:rsidRPr="005437E2">
        <w:rPr>
          <w:rFonts w:ascii="Times New Roman" w:eastAsia="Times New Roman" w:hAnsi="Times New Roman" w:cs="Times New Roman"/>
          <w:lang w:eastAsia="ru-RU"/>
        </w:rPr>
        <w:t xml:space="preserve"> случае принятия решения о включении в Перечень иной информации, классифицированной Обществом как инсайдерская. </w:t>
      </w:r>
    </w:p>
    <w:p w14:paraId="203F76C4" w14:textId="77777777" w:rsidR="00545E52" w:rsidRPr="005437E2" w:rsidRDefault="00545E52"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В случае изменения действующего законодательства Российской Федерации после утверждения настоящего Перечня, Собственный перечень инсайдерской информации Общества будет действовать с учетом изменившихся требований законодательства Российской Федерации. </w:t>
      </w:r>
    </w:p>
    <w:p w14:paraId="3DBBF4CD" w14:textId="77777777" w:rsidR="007B5B32" w:rsidRPr="005437E2" w:rsidRDefault="007B5B32"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Собственный перечень инсайдерской информации Общества подлежит раскрытию в информационно-телекоммуникационной сети Интернет на официальном сайте Общества. </w:t>
      </w:r>
    </w:p>
    <w:p w14:paraId="6EAB2DC4" w14:textId="77777777" w:rsidR="00E73C1B" w:rsidRPr="005437E2" w:rsidRDefault="00F006C6" w:rsidP="00F006C6">
      <w:pPr>
        <w:jc w:val="both"/>
        <w:rPr>
          <w:rFonts w:ascii="Times New Roman" w:eastAsia="Times New Roman" w:hAnsi="Times New Roman" w:cs="Times New Roman"/>
          <w:sz w:val="20"/>
          <w:szCs w:val="20"/>
          <w:lang w:eastAsia="ru-RU"/>
        </w:rPr>
      </w:pPr>
      <w:r w:rsidRPr="005437E2">
        <w:rPr>
          <w:rFonts w:ascii="Times New Roman" w:eastAsia="Times New Roman" w:hAnsi="Times New Roman" w:cs="Times New Roman"/>
          <w:lang w:eastAsia="ru-RU"/>
        </w:rPr>
        <w:t xml:space="preserve">Порядок и сроки раскрытия </w:t>
      </w:r>
      <w:r w:rsidRPr="00AD15B5">
        <w:rPr>
          <w:rFonts w:ascii="Times New Roman" w:eastAsia="Times New Roman" w:hAnsi="Times New Roman" w:cs="Times New Roman"/>
          <w:lang w:eastAsia="ru-RU"/>
        </w:rPr>
        <w:t>инсайдерской информации устанавливается нормативными актами Банка России.</w:t>
      </w:r>
    </w:p>
    <w:p w14:paraId="3807BB7A" w14:textId="77777777" w:rsidR="00E73C1B" w:rsidRPr="005437E2" w:rsidRDefault="00E73C1B" w:rsidP="00C11808">
      <w:pPr>
        <w:spacing w:before="240" w:after="0" w:line="276" w:lineRule="auto"/>
        <w:ind w:firstLine="540"/>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lastRenderedPageBreak/>
        <w:t xml:space="preserve">В случае, если после раскрытия или предоставления инсайдерской информации сведения, входящие в состав указанной информации, изменяются, информация об этом должна быть в том же порядке раскрыта или предоставлена не позднее следующего рабочего дня после того, как о таких изменениях стало или должно было стать известно. </w:t>
      </w:r>
    </w:p>
    <w:p w14:paraId="1BB01A27" w14:textId="77777777" w:rsidR="007B5B32" w:rsidRPr="005437E2" w:rsidRDefault="007B5B32" w:rsidP="00C11808">
      <w:pPr>
        <w:spacing w:before="240"/>
        <w:jc w:val="both"/>
        <w:rPr>
          <w:rFonts w:ascii="Times New Roman" w:eastAsia="Times New Roman" w:hAnsi="Times New Roman" w:cs="Times New Roman"/>
          <w:b/>
          <w:lang w:eastAsia="ru-RU"/>
        </w:rPr>
      </w:pPr>
      <w:r w:rsidRPr="005437E2">
        <w:rPr>
          <w:rFonts w:ascii="Times New Roman" w:eastAsia="Times New Roman" w:hAnsi="Times New Roman" w:cs="Times New Roman"/>
          <w:b/>
          <w:lang w:eastAsia="ru-RU"/>
        </w:rPr>
        <w:t xml:space="preserve">2. Инсайдерская информация Общества </w:t>
      </w:r>
    </w:p>
    <w:p w14:paraId="4DE8140C" w14:textId="77777777" w:rsidR="00543891" w:rsidRPr="005437E2" w:rsidRDefault="00543891"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К инсайдерской информации Общества как эмитента, эмиссионные ценные бумаги которого допущены к организованным торгам</w:t>
      </w:r>
      <w:r w:rsidR="0059350D" w:rsidRPr="005437E2">
        <w:rPr>
          <w:rFonts w:ascii="Times New Roman" w:eastAsia="Times New Roman" w:hAnsi="Times New Roman" w:cs="Times New Roman"/>
          <w:lang w:eastAsia="ru-RU"/>
        </w:rPr>
        <w:t>,</w:t>
      </w:r>
      <w:r w:rsidRPr="005437E2">
        <w:rPr>
          <w:rFonts w:ascii="Times New Roman" w:eastAsia="Times New Roman" w:hAnsi="Times New Roman" w:cs="Times New Roman"/>
          <w:lang w:eastAsia="ru-RU"/>
        </w:rPr>
        <w:t xml:space="preserve"> или в отношении эмиссионных ценных бумаг которого подана заявка о допуске к организованным торгам, относится:</w:t>
      </w:r>
    </w:p>
    <w:p w14:paraId="5B55EDF2" w14:textId="77777777" w:rsidR="00543891"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созыве и проведении общего собрания участников (акционеров) эмитента, об объявлении общего собрания участников (акционеров) эмитента несостоявшимся, а также о решениях, принятых общим собранием участников (акционеров) эмитента или единственным участником (лицом, которому принадлежат все голосующие акции) эмитента</w:t>
      </w:r>
    </w:p>
    <w:p w14:paraId="0A9631BD" w14:textId="77777777" w:rsidR="00ED14ED" w:rsidRPr="005437E2" w:rsidRDefault="00ED14ED" w:rsidP="00101EA8">
      <w:pPr>
        <w:pStyle w:val="ConsPlusNormal"/>
        <w:numPr>
          <w:ilvl w:val="0"/>
          <w:numId w:val="3"/>
        </w:numPr>
        <w:jc w:val="both"/>
        <w:rPr>
          <w:sz w:val="22"/>
          <w:szCs w:val="22"/>
        </w:rPr>
      </w:pPr>
      <w:r w:rsidRPr="005437E2">
        <w:rPr>
          <w:sz w:val="22"/>
          <w:szCs w:val="22"/>
        </w:rPr>
        <w:t>Информация о проведении заседания совета директоров (наблюдательного совета) эмитента и его повестке дня, а также об отдельных решениях, принятых советом директоров (наблюдательным советом) эмитента:</w:t>
      </w:r>
    </w:p>
    <w:p w14:paraId="3EFEC473"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предложении общему собранию акционеров эмитента, являющегося акционерным обществом, установить в решении о выплате (об объявлении) дивидендов определенную дату, на которую определяются лица, имеющие право на получение дивидендов;</w:t>
      </w:r>
    </w:p>
    <w:p w14:paraId="4EC350BC"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размещении или реализации ценных бумаг эмитента;</w:t>
      </w:r>
    </w:p>
    <w:p w14:paraId="35FD17C9"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определении или о порядке определения цены размещения акций или ценных бумаг, конвертируемых в акции, эмитента, являющегося акционерным обществом;</w:t>
      </w:r>
    </w:p>
    <w:p w14:paraId="49864B8B"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14:paraId="400CDEF3"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включении кандидатов в список кандидатур для голосования на годовом общем собрании акционеров эмитента по вопросу об избрании членов совета директоров (наблюдательного совета) эмитента;</w:t>
      </w:r>
    </w:p>
    <w:p w14:paraId="48D1E6BF"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рекомендациях в отношении размера дивидендов по акциям эмитента, являющегося акционерным обществом, и порядка их выплаты;</w:t>
      </w:r>
    </w:p>
    <w:p w14:paraId="378DF864"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утверждении внутренних документов эмитента;</w:t>
      </w:r>
    </w:p>
    <w:p w14:paraId="5C7EE759"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согласии на совершение или о последующем одобрении сделки (нескольких взаимосвязанных сделок) эмитента,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балансовой стоимости активов эмитента по данным бухгалтерской (финансовой) отчетности эмитента на последнюю отчетную дату (дату окончания последнего завершенного отчетного периода, определяемого в соответствии с подпунктом 26 пункта 1 статьи 2 Федерального закона "О рынке ценных бумаг",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14:paraId="0B7E2511" w14:textId="77777777"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передаче полномочий единоличного исполнительного органа эмитента, являющегося хозяйственным обществом, 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14:paraId="0160A797" w14:textId="77777777" w:rsidR="00ED14ED" w:rsidRPr="005437E2" w:rsidRDefault="00ED14ED" w:rsidP="00101EA8">
      <w:pPr>
        <w:pStyle w:val="a7"/>
        <w:numPr>
          <w:ilvl w:val="0"/>
          <w:numId w:val="4"/>
        </w:numPr>
        <w:spacing w:after="0"/>
        <w:ind w:left="1134" w:hanging="283"/>
        <w:jc w:val="both"/>
        <w:rPr>
          <w:rFonts w:ascii="Times New Roman" w:hAnsi="Times New Roman" w:cs="Times New Roman"/>
        </w:rPr>
      </w:pPr>
      <w:r w:rsidRPr="005437E2">
        <w:rPr>
          <w:rFonts w:ascii="Times New Roman" w:hAnsi="Times New Roman" w:cs="Times New Roman"/>
        </w:rPr>
        <w:t>об утверждении регистратора, осуществляющего ведение реестра владельцев ценных бумаг эмитента, являющегося акционерным обществом, условий договора с ним в части ведения реестра владельцев ценных бумаг эмитента, а также о расторжении договора с ним</w:t>
      </w:r>
    </w:p>
    <w:p w14:paraId="7409F7FC"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решения о реорганизации или ликвидации лица, предоставившего обеспечение по облигациям эмитента</w:t>
      </w:r>
    </w:p>
    <w:p w14:paraId="3D7B7E3A" w14:textId="77777777" w:rsidR="009A6D2E"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появлении у эмитента или лица, предоставившего обеспечение по облигациям эмитента, признаков банкротства, предусмотренных Федеральным законом от 26 октября 2002 года N 127-ФЗ "О несостоятельности (банкротстве)" </w:t>
      </w:r>
    </w:p>
    <w:p w14:paraId="45A649DE"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о принятии арбитражным судом заявления о признании эмитента несостоятельным (банкротом), а также о принятии арбитражным судом решения о признании эмитента несостоятельным (банкротом), введении в отношении эмитента одной из процедур банкротства, прекращении в отношении эмитента производства по делу о банкротстве</w:t>
      </w:r>
    </w:p>
    <w:p w14:paraId="176C987A"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дате, на которую определяются (фиксируются) лица, имеющие право на осуществление прав по ценным бумагам эмитента</w:t>
      </w:r>
    </w:p>
    <w:p w14:paraId="3C223718"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этапах процедуры эмиссии ценных бумаг эмитента</w:t>
      </w:r>
    </w:p>
    <w:p w14:paraId="07A86518"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приостановлении и возобновлении эмиссии ценных бумаг эмитента</w:t>
      </w:r>
    </w:p>
    <w:p w14:paraId="623B073C"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признании программы облигаций несостоявшейся, о признании выпуска (дополнительного выпуска) ценных бумаг эмитента несостоявшимся или недействительным</w:t>
      </w:r>
    </w:p>
    <w:p w14:paraId="0D916782"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погашении ценных бумаг эмитента</w:t>
      </w:r>
    </w:p>
    <w:p w14:paraId="1E3CB07C"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14:paraId="194B38C0" w14:textId="77777777"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решения о приобретении (наступлении оснований для приобретения) эмитентом размещенных им ценных бумаг</w:t>
      </w:r>
    </w:p>
    <w:p w14:paraId="75CCDDF6" w14:textId="77777777" w:rsidR="00ED14ED"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начисленных (объявленных) и (или) выплаченных доходах по ценным бумагам эмитента, об иных выплатах, причитающихся владельцам ценных бумаг эмитента, а также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p w14:paraId="4F6C19C2"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включении ценных бумаг 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эмитента российской биржей в котировальный список, или об исключении ценных бумаг эмитента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 бумаг эмитента российской биржей из котировального списка, а также о переводе ценных бумаг эмитента из одного котировального списка в другой котировальный список (об исключении ценных бумаг эмитента из одного котировального списка и о включении их в другой котировальный список)</w:t>
      </w:r>
    </w:p>
    <w:p w14:paraId="0124F6D4"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включении ценных бумаг эмитента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эмитента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14:paraId="021DE435"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неисполнении обязательств эмитента перед владельцами его ценных бумаг</w:t>
      </w:r>
    </w:p>
    <w:p w14:paraId="4FC879C7"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14:paraId="58F4B94B"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поступившем эмитенту в соответствии с главой XI.1 Федерального закона от 26 декабря 1995 года N 208-ФЗ "Об акционерных обществах" (далее - Федеральный закон "Об акционерных обществах")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14:paraId="3F75565A"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о поступившем эмитенту в соответствии с главой XI.1 Федерального закона "Об акционерных обществах" уведомлении о праве требовать выкупа ценных бумаг эмитента или требовании о выкупе ценных бумаг эмитента</w:t>
      </w:r>
    </w:p>
    <w:p w14:paraId="137E87F3"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выявлении ошибок в ранее раскрытой отчетности эмитента (бухгалтерской (финансовой) отчетности, консолидированной финансовой отчетности, финансовой отчетности)</w:t>
      </w:r>
    </w:p>
    <w:p w14:paraId="7832332A"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совершении эмитентом или подконтрольной эмитенту организацией, имеющей для него существенное значение, определяемой в соответствии с пунктом 1.14 Положения Банка России N 714-П (далее - подконтрольная эмитенту организация, имеющая для него существенное значение), сделки, размер которой составляет 10 и более процентов балансовой стоимости активов эмитента или подконтрольной эмитенту организации, имеющей для него существенное значение, по данным бухгалтерской (финансовой) отчетности эмитента или указанной организации на последнюю отчетную дату (дату окончания последнего завершенного отчетного периода, предшествующего дате совершения сделки</w:t>
      </w:r>
    </w:p>
    <w:p w14:paraId="38E1D3CF"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пункте 35.1 Положения Банка России N 714-П</w:t>
      </w:r>
    </w:p>
    <w:p w14:paraId="4A878849"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p w14:paraId="4C843B6D"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14:paraId="07E89573"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заключении контролирующим эмитента лицом или подконтрольной эмитенту организацией договора, предусматривающего обязанность приобретать ценные бумаги эмитента</w:t>
      </w:r>
    </w:p>
    <w:p w14:paraId="00BA0FE2"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14:paraId="7CFFFFEE"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p>
    <w:p w14:paraId="040A3B76"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возбуждении производства по делу в суде по спору, связанному с созданием эмитента, управлением им или участием в нем (далее - корпоративный спор), или иному спору, истцом или ответчиком по которому является эмитент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эмитента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пункте 41.6 Положения Банка России N 714-П</w:t>
      </w:r>
    </w:p>
    <w:p w14:paraId="1797CF66"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14:paraId="35FC3201"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о решении Банка России об освобождении эмитента от обязанности осуществлять раскрытие информации в соответствии со статьей 30 Федерального закона "О рынке ценных бумаг"</w:t>
      </w:r>
    </w:p>
    <w:p w14:paraId="271721D0"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(отчуждении) голосующих акций (долей) эмитента или депозитарных ценных бумаг, удостоверяющих права в отношении голосующих акций эмитента, эмитентом или подконтрольной эмитенту организацией, за исключением случаев приобретения голосующих акций эмитента (депозитарных ценных бумаг, удостоверяющих права в отношении голосующих акций эмитента) в процессе размещения голосующих акций эмитента или приобретения (отчуждения) голосующих акций эмитента (депозитарных ценных бумаг, удостоверяющих права в отношении голосующих акций эмитента) брокером и (или) доверительным управляющим, действующими от своего имени, но за счет клиента во исполнение поручения клиента</w:t>
      </w:r>
    </w:p>
    <w:p w14:paraId="3D78ED0C"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проведении и повестке дня общего собрания владельцев облигаций эмитента, о решениях, принятых общим собранием владельцев облигаций эмитента, а также об объявлении общего собрания владельцев облигаций эмитента несостоявшимся</w:t>
      </w:r>
    </w:p>
    <w:p w14:paraId="632ABFF2"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определении эмитентом облигаций представителя владельцев облигаций после регистрации выпуска облигаций</w:t>
      </w:r>
    </w:p>
    <w:p w14:paraId="7A1297E7"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дате, с которой представитель владельцев облигаций осуществляет свои полномочия</w:t>
      </w:r>
    </w:p>
    <w:p w14:paraId="365A75D3"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p>
    <w:p w14:paraId="4766F1B3" w14:textId="77777777"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возникновении у владельцев конвертируемых ценных бумаг эмитента права требовать от эмитента конвертации принадлежащих им конвертируемых ценных бумаг эмитента</w:t>
      </w:r>
    </w:p>
    <w:p w14:paraId="535335E5" w14:textId="77777777" w:rsidR="00B96731" w:rsidRPr="005437E2" w:rsidRDefault="006260C4"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14:paraId="3A47722D" w14:textId="77777777" w:rsidR="006260C4" w:rsidRPr="005437E2" w:rsidRDefault="006260C4"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годовых отчетах эмитента, являющегося акционерным обществом, за исключением информации, которая ранее уже была раскрыта</w:t>
      </w:r>
    </w:p>
    <w:p w14:paraId="61F3F5F9" w14:textId="77777777" w:rsidR="00FD5B8A" w:rsidRPr="005437E2" w:rsidRDefault="006260C4" w:rsidP="00FD5B8A">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промежуточную бухгалтерскую (финансовую) отчетность 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эмитента, вместе с аудиторским заключением о ней, если в отношении нее проведен аудит</w:t>
      </w:r>
    </w:p>
    <w:p w14:paraId="67303230" w14:textId="77777777" w:rsidR="00D65C7B" w:rsidRPr="005437E2" w:rsidRDefault="00FD5B8A"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 </w:t>
      </w:r>
    </w:p>
    <w:p w14:paraId="3F024862"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проспекте ценных бумаг эмитента, за исключением информации, которая ранее уже была раскрыта</w:t>
      </w:r>
    </w:p>
    <w:p w14:paraId="559FB57C"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14:paraId="6B0246BD"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заключении эмитентом договора о стратегическом партнерстве или иного договора (сделки), за исключением договоров (сделок), предусмотренных </w:t>
      </w:r>
      <w:hyperlink w:anchor="Par136" w:tooltip="1.21" w:history="1">
        <w:r w:rsidRPr="005437E2">
          <w:rPr>
            <w:rFonts w:ascii="Times New Roman" w:hAnsi="Times New Roman" w:cs="Times New Roman"/>
          </w:rPr>
          <w:t>строками 1.21</w:t>
        </w:r>
      </w:hyperlink>
      <w:r w:rsidRPr="005437E2">
        <w:rPr>
          <w:rFonts w:ascii="Times New Roman" w:hAnsi="Times New Roman" w:cs="Times New Roman"/>
        </w:rPr>
        <w:t xml:space="preserve">, </w:t>
      </w:r>
      <w:hyperlink w:anchor="Par139" w:tooltip="1.22" w:history="1">
        <w:r w:rsidRPr="005437E2">
          <w:rPr>
            <w:rFonts w:ascii="Times New Roman" w:hAnsi="Times New Roman" w:cs="Times New Roman"/>
          </w:rPr>
          <w:t>1.22</w:t>
        </w:r>
      </w:hyperlink>
      <w:r w:rsidRPr="005437E2">
        <w:rPr>
          <w:rFonts w:ascii="Times New Roman" w:hAnsi="Times New Roman" w:cs="Times New Roman"/>
        </w:rPr>
        <w:t xml:space="preserve"> и </w:t>
      </w:r>
      <w:hyperlink w:anchor="Par154" w:tooltip="1.27" w:history="1">
        <w:r w:rsidRPr="005437E2">
          <w:rPr>
            <w:rFonts w:ascii="Times New Roman" w:hAnsi="Times New Roman" w:cs="Times New Roman"/>
          </w:rPr>
          <w:t>1.27</w:t>
        </w:r>
      </w:hyperlink>
      <w:r w:rsidRPr="005437E2">
        <w:rPr>
          <w:rFonts w:ascii="Times New Roman" w:hAnsi="Times New Roman" w:cs="Times New Roman"/>
        </w:rPr>
        <w:t xml:space="preserve"> приложения</w:t>
      </w:r>
      <w:r w:rsidR="008B22EF" w:rsidRPr="005437E2">
        <w:rPr>
          <w:rFonts w:ascii="Times New Roman" w:hAnsi="Times New Roman" w:cs="Times New Roman"/>
        </w:rPr>
        <w:t xml:space="preserve"> к Указанию Банка России от 27.09.2021 № 5946-У </w:t>
      </w:r>
      <w:r w:rsidR="008B22EF" w:rsidRPr="005437E2">
        <w:rPr>
          <w:rFonts w:ascii="Times New Roman" w:eastAsia="Times New Roman" w:hAnsi="Times New Roman" w:cs="Times New Roman"/>
          <w:lang w:eastAsia="ru-RU"/>
        </w:rPr>
        <w:t>"О перечне инсайдерской информации юридических лиц, указанных в пунктах 1, 3, 4, 11 и 12 статьи 4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w:t>
      </w:r>
      <w:r w:rsidRPr="005437E2">
        <w:rPr>
          <w:rFonts w:ascii="Times New Roman" w:hAnsi="Times New Roman" w:cs="Times New Roman"/>
        </w:rPr>
        <w:t xml:space="preserve">, если заключение такого договора (сделки) может оказать существенное влияние на цену ценных бумаг эмитента, </w:t>
      </w:r>
      <w:r w:rsidRPr="005437E2">
        <w:rPr>
          <w:rFonts w:ascii="Times New Roman" w:hAnsi="Times New Roman" w:cs="Times New Roman"/>
        </w:rPr>
        <w:lastRenderedPageBreak/>
        <w:t>допущенных к организованным торгам (в отношении которых подана заявка о допуске к организованным торгам)</w:t>
      </w:r>
    </w:p>
    <w:p w14:paraId="5160A1B1"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p w14:paraId="0327E5D6"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14:paraId="2CA8F0C0" w14:textId="77777777" w:rsidR="00A46952" w:rsidRPr="005437E2" w:rsidRDefault="00A46952"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об обстоятельствах, предусмотренных </w:t>
      </w:r>
      <w:hyperlink r:id="rId8" w:history="1">
        <w:r w:rsidRPr="005437E2">
          <w:rPr>
            <w:rStyle w:val="ab"/>
            <w:rFonts w:ascii="Times New Roman" w:hAnsi="Times New Roman" w:cs="Times New Roman"/>
            <w:b w:val="0"/>
            <w:color w:val="auto"/>
          </w:rPr>
          <w:t>абзацем вторым подпункта 23 пункта 1 статьи 2</w:t>
        </w:r>
      </w:hyperlink>
      <w:r w:rsidRPr="005437E2">
        <w:rPr>
          <w:rFonts w:ascii="Times New Roman" w:hAnsi="Times New Roman" w:cs="Times New Roman"/>
        </w:rPr>
        <w:t xml:space="preserve"> Федерального закона "О рынке ценных бумаг", в зависимости от наступления или </w:t>
      </w:r>
      <w:proofErr w:type="spellStart"/>
      <w:r w:rsidRPr="005437E2">
        <w:rPr>
          <w:rFonts w:ascii="Times New Roman" w:hAnsi="Times New Roman" w:cs="Times New Roman"/>
        </w:rPr>
        <w:t>ненаступления</w:t>
      </w:r>
      <w:proofErr w:type="spellEnd"/>
      <w:r w:rsidRPr="005437E2">
        <w:rPr>
          <w:rFonts w:ascii="Times New Roman" w:hAnsi="Times New Roman" w:cs="Times New Roman"/>
        </w:rPr>
        <w:t xml:space="preserve"> которых осуществляются либо не осуществляются выплаты по структурным облигациям 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p>
    <w:p w14:paraId="6828BD75" w14:textId="77777777" w:rsidR="00A46952" w:rsidRPr="005437E2" w:rsidRDefault="00A46952" w:rsidP="00A46952">
      <w:pPr>
        <w:pStyle w:val="ac"/>
        <w:numPr>
          <w:ilvl w:val="0"/>
          <w:numId w:val="3"/>
        </w:numPr>
        <w:rPr>
          <w:rFonts w:ascii="Times New Roman" w:hAnsi="Times New Roman" w:cs="Times New Roman"/>
          <w:sz w:val="22"/>
          <w:szCs w:val="22"/>
        </w:rPr>
      </w:pPr>
      <w:r w:rsidRPr="005437E2">
        <w:rPr>
          <w:rFonts w:ascii="Times New Roman" w:hAnsi="Times New Roman" w:cs="Times New Roman"/>
          <w:sz w:val="22"/>
          <w:szCs w:val="22"/>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эмитента до начала размещения структурных облигаций в соответствии с </w:t>
      </w:r>
      <w:hyperlink r:id="rId9" w:history="1">
        <w:r w:rsidRPr="005437E2">
          <w:rPr>
            <w:rStyle w:val="ab"/>
            <w:rFonts w:ascii="Times New Roman" w:hAnsi="Times New Roman" w:cs="Times New Roman"/>
            <w:b w:val="0"/>
            <w:color w:val="auto"/>
            <w:sz w:val="22"/>
            <w:szCs w:val="22"/>
          </w:rPr>
          <w:t>подпунктами 1</w:t>
        </w:r>
      </w:hyperlink>
      <w:r w:rsidRPr="005437E2">
        <w:rPr>
          <w:rFonts w:ascii="Times New Roman" w:hAnsi="Times New Roman" w:cs="Times New Roman"/>
          <w:b/>
          <w:sz w:val="22"/>
          <w:szCs w:val="22"/>
        </w:rPr>
        <w:t xml:space="preserve"> </w:t>
      </w:r>
      <w:r w:rsidRPr="005437E2">
        <w:rPr>
          <w:rFonts w:ascii="Times New Roman" w:hAnsi="Times New Roman" w:cs="Times New Roman"/>
          <w:sz w:val="22"/>
          <w:szCs w:val="22"/>
        </w:rPr>
        <w:t>и</w:t>
      </w:r>
      <w:r w:rsidRPr="005437E2">
        <w:rPr>
          <w:rFonts w:ascii="Times New Roman" w:hAnsi="Times New Roman" w:cs="Times New Roman"/>
          <w:b/>
          <w:sz w:val="22"/>
          <w:szCs w:val="22"/>
        </w:rPr>
        <w:t xml:space="preserve"> </w:t>
      </w:r>
      <w:r w:rsidRPr="005437E2">
        <w:rPr>
          <w:rStyle w:val="ab"/>
          <w:rFonts w:ascii="Times New Roman" w:hAnsi="Times New Roman" w:cs="Times New Roman"/>
          <w:b w:val="0"/>
          <w:color w:val="auto"/>
          <w:sz w:val="22"/>
          <w:szCs w:val="22"/>
        </w:rPr>
        <w:t>2 пункта 3 статьи 27</w:t>
      </w:r>
      <w:hyperlink r:id="rId10" w:history="1">
        <w:r w:rsidRPr="005437E2">
          <w:rPr>
            <w:rStyle w:val="ab"/>
            <w:rFonts w:ascii="Times New Roman" w:hAnsi="Times New Roman" w:cs="Times New Roman"/>
            <w:b w:val="0"/>
            <w:color w:val="auto"/>
            <w:sz w:val="22"/>
            <w:szCs w:val="22"/>
            <w:vertAlign w:val="superscript"/>
          </w:rPr>
          <w:t> 1-1</w:t>
        </w:r>
      </w:hyperlink>
      <w:r w:rsidRPr="005437E2">
        <w:rPr>
          <w:rFonts w:ascii="Times New Roman" w:hAnsi="Times New Roman" w:cs="Times New Roman"/>
          <w:sz w:val="22"/>
          <w:szCs w:val="22"/>
        </w:rPr>
        <w:t xml:space="preserve"> Федерального закона "О рынке ценных бумаг", за исключением информации, которая ранее уже была раскрыта (в случае если такая информация не содержится в решении о выпуске структурных облигаций)</w:t>
      </w:r>
    </w:p>
    <w:p w14:paraId="7DF91BD3"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возбуждении уголовного дела (поступившая эмитенту от органов предварительного следствия или органов дознания) в отношении лица, входящего в состав органов управления эмитента,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эмитента, допущенным к организованным торгам (в отношении которых подана заявка о допуске к организованным торгам)</w:t>
      </w:r>
    </w:p>
    <w:p w14:paraId="58AD6430" w14:textId="77777777"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содержащаяся в материалах, на основании которых органами управления эмитента, за исключением общего собрания акционеров, принимаются решения, которые могут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p w14:paraId="0EE96D11" w14:textId="77777777" w:rsidR="006260C4"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иных событиях (действиях), оказывающих, по мнению эмитента, существенное влияние на стоимость или котировки его ценных бумаг</w:t>
      </w:r>
    </w:p>
    <w:p w14:paraId="11FCE281" w14:textId="77777777" w:rsidR="005E6D3F" w:rsidRPr="005437E2" w:rsidRDefault="005E6D3F" w:rsidP="005E6D3F">
      <w:pPr>
        <w:pStyle w:val="a7"/>
        <w:spacing w:after="0"/>
        <w:ind w:firstLine="0"/>
        <w:jc w:val="both"/>
        <w:rPr>
          <w:rFonts w:ascii="Times New Roman" w:hAnsi="Times New Roman" w:cs="Times New Roman"/>
        </w:rPr>
      </w:pPr>
    </w:p>
    <w:p w14:paraId="2D8A354C" w14:textId="77777777" w:rsidR="00ED14ED" w:rsidRPr="005437E2" w:rsidRDefault="00ED14ED" w:rsidP="00101EA8">
      <w:pPr>
        <w:spacing w:after="0"/>
        <w:jc w:val="both"/>
        <w:rPr>
          <w:rFonts w:ascii="Times New Roman" w:eastAsia="Times New Roman" w:hAnsi="Times New Roman" w:cs="Times New Roman"/>
          <w:lang w:eastAsia="ru-RU"/>
        </w:rPr>
      </w:pPr>
    </w:p>
    <w:p w14:paraId="2A2B748F" w14:textId="77777777" w:rsidR="00A44791" w:rsidRPr="005437E2" w:rsidRDefault="00A44791" w:rsidP="00A44791">
      <w:pPr>
        <w:spacing w:after="0" w:line="240" w:lineRule="auto"/>
        <w:ind w:firstLine="567"/>
        <w:jc w:val="both"/>
        <w:rPr>
          <w:rFonts w:ascii="Times New Roman" w:hAnsi="Times New Roman" w:cs="Times New Roman"/>
        </w:rPr>
      </w:pPr>
    </w:p>
    <w:sectPr w:rsidR="00A44791" w:rsidRPr="005437E2" w:rsidSect="00101EA8">
      <w:footerReference w:type="default" r:id="rId1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2A23" w14:textId="77777777" w:rsidR="00432303" w:rsidRPr="00CD05F6" w:rsidRDefault="00432303" w:rsidP="00ED14ED">
      <w:pPr>
        <w:spacing w:after="0" w:line="240" w:lineRule="auto"/>
        <w:rPr>
          <w:rFonts w:ascii="Times New Roman" w:hAnsi="Times New Roman" w:cs="Times New Roman"/>
          <w:sz w:val="24"/>
          <w:szCs w:val="24"/>
        </w:rPr>
      </w:pPr>
      <w:r>
        <w:separator/>
      </w:r>
    </w:p>
  </w:endnote>
  <w:endnote w:type="continuationSeparator" w:id="0">
    <w:p w14:paraId="5D79D9BE" w14:textId="77777777" w:rsidR="00432303" w:rsidRPr="00CD05F6" w:rsidRDefault="00432303" w:rsidP="00ED14ED">
      <w:pPr>
        <w:spacing w:after="0" w:line="240" w:lineRule="auto"/>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033161"/>
      <w:docPartObj>
        <w:docPartGallery w:val="Page Numbers (Bottom of Page)"/>
        <w:docPartUnique/>
      </w:docPartObj>
    </w:sdtPr>
    <w:sdtEndPr/>
    <w:sdtContent>
      <w:p w14:paraId="01E94C3A" w14:textId="77777777" w:rsidR="00B866E9" w:rsidRDefault="00700083">
        <w:pPr>
          <w:pStyle w:val="a5"/>
          <w:jc w:val="right"/>
        </w:pPr>
        <w:r>
          <w:fldChar w:fldCharType="begin"/>
        </w:r>
        <w:r>
          <w:instrText xml:space="preserve"> PAGE   \* MERGEFORMAT </w:instrText>
        </w:r>
        <w:r>
          <w:fldChar w:fldCharType="separate"/>
        </w:r>
        <w:r w:rsidR="00866E62">
          <w:rPr>
            <w:noProof/>
          </w:rPr>
          <w:t>1</w:t>
        </w:r>
        <w:r>
          <w:rPr>
            <w:noProof/>
          </w:rPr>
          <w:fldChar w:fldCharType="end"/>
        </w:r>
      </w:p>
    </w:sdtContent>
  </w:sdt>
  <w:p w14:paraId="6E1DEEB6" w14:textId="77777777" w:rsidR="00B866E9" w:rsidRDefault="00B866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6983" w14:textId="77777777" w:rsidR="00432303" w:rsidRPr="00CD05F6" w:rsidRDefault="00432303" w:rsidP="00ED14ED">
      <w:pPr>
        <w:spacing w:after="0" w:line="240" w:lineRule="auto"/>
        <w:rPr>
          <w:rFonts w:ascii="Times New Roman" w:hAnsi="Times New Roman" w:cs="Times New Roman"/>
          <w:sz w:val="24"/>
          <w:szCs w:val="24"/>
        </w:rPr>
      </w:pPr>
      <w:r>
        <w:separator/>
      </w:r>
    </w:p>
  </w:footnote>
  <w:footnote w:type="continuationSeparator" w:id="0">
    <w:p w14:paraId="6731DB86" w14:textId="77777777" w:rsidR="00432303" w:rsidRPr="00CD05F6" w:rsidRDefault="00432303" w:rsidP="00ED14ED">
      <w:pPr>
        <w:spacing w:after="0" w:line="240" w:lineRule="auto"/>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081"/>
    <w:multiLevelType w:val="hybridMultilevel"/>
    <w:tmpl w:val="AAEEDB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81CEC"/>
    <w:multiLevelType w:val="hybridMultilevel"/>
    <w:tmpl w:val="7DBAB5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73B8F"/>
    <w:multiLevelType w:val="hybridMultilevel"/>
    <w:tmpl w:val="4A587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BE6B47"/>
    <w:multiLevelType w:val="hybridMultilevel"/>
    <w:tmpl w:val="4A587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E269AE"/>
    <w:multiLevelType w:val="hybridMultilevel"/>
    <w:tmpl w:val="2C700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49"/>
    <w:rsid w:val="00013ABA"/>
    <w:rsid w:val="0003787C"/>
    <w:rsid w:val="00042F47"/>
    <w:rsid w:val="00074649"/>
    <w:rsid w:val="00081881"/>
    <w:rsid w:val="000C31BE"/>
    <w:rsid w:val="00101EA8"/>
    <w:rsid w:val="0015064F"/>
    <w:rsid w:val="00213475"/>
    <w:rsid w:val="00224D3B"/>
    <w:rsid w:val="00264346"/>
    <w:rsid w:val="00277C51"/>
    <w:rsid w:val="002A7613"/>
    <w:rsid w:val="002C7191"/>
    <w:rsid w:val="00302B3A"/>
    <w:rsid w:val="00314A97"/>
    <w:rsid w:val="00325CAA"/>
    <w:rsid w:val="004034A9"/>
    <w:rsid w:val="004035FE"/>
    <w:rsid w:val="00432303"/>
    <w:rsid w:val="00442BCB"/>
    <w:rsid w:val="004436A1"/>
    <w:rsid w:val="00466740"/>
    <w:rsid w:val="00480443"/>
    <w:rsid w:val="005006DA"/>
    <w:rsid w:val="00510638"/>
    <w:rsid w:val="005124AD"/>
    <w:rsid w:val="00512762"/>
    <w:rsid w:val="00527158"/>
    <w:rsid w:val="005437E2"/>
    <w:rsid w:val="00543891"/>
    <w:rsid w:val="00545E52"/>
    <w:rsid w:val="0059350D"/>
    <w:rsid w:val="005A3D81"/>
    <w:rsid w:val="005E6D3F"/>
    <w:rsid w:val="006260C4"/>
    <w:rsid w:val="00641FB1"/>
    <w:rsid w:val="00650AC1"/>
    <w:rsid w:val="006A2E7F"/>
    <w:rsid w:val="006C232D"/>
    <w:rsid w:val="006C41E1"/>
    <w:rsid w:val="006D7FCE"/>
    <w:rsid w:val="006E63DC"/>
    <w:rsid w:val="00700083"/>
    <w:rsid w:val="007823E7"/>
    <w:rsid w:val="007B5B32"/>
    <w:rsid w:val="007C5A6B"/>
    <w:rsid w:val="008004A2"/>
    <w:rsid w:val="00866E62"/>
    <w:rsid w:val="00883706"/>
    <w:rsid w:val="008B22EF"/>
    <w:rsid w:val="008C75AC"/>
    <w:rsid w:val="008F34D4"/>
    <w:rsid w:val="009601F0"/>
    <w:rsid w:val="009754FA"/>
    <w:rsid w:val="00987463"/>
    <w:rsid w:val="009A6D2E"/>
    <w:rsid w:val="009E74AA"/>
    <w:rsid w:val="00A1613E"/>
    <w:rsid w:val="00A44791"/>
    <w:rsid w:val="00A46952"/>
    <w:rsid w:val="00A71915"/>
    <w:rsid w:val="00A97B3B"/>
    <w:rsid w:val="00AA350D"/>
    <w:rsid w:val="00AA73DB"/>
    <w:rsid w:val="00AC10C2"/>
    <w:rsid w:val="00AD15B5"/>
    <w:rsid w:val="00B0184B"/>
    <w:rsid w:val="00B75AF2"/>
    <w:rsid w:val="00B866E9"/>
    <w:rsid w:val="00B921C6"/>
    <w:rsid w:val="00B96731"/>
    <w:rsid w:val="00BA6346"/>
    <w:rsid w:val="00BC5839"/>
    <w:rsid w:val="00C03B0A"/>
    <w:rsid w:val="00C11808"/>
    <w:rsid w:val="00C25B65"/>
    <w:rsid w:val="00C70C2B"/>
    <w:rsid w:val="00D32022"/>
    <w:rsid w:val="00D65C7B"/>
    <w:rsid w:val="00D81EEC"/>
    <w:rsid w:val="00D940D5"/>
    <w:rsid w:val="00DD273E"/>
    <w:rsid w:val="00DE6AD8"/>
    <w:rsid w:val="00E23476"/>
    <w:rsid w:val="00E52409"/>
    <w:rsid w:val="00E62A27"/>
    <w:rsid w:val="00E73C1B"/>
    <w:rsid w:val="00ED14ED"/>
    <w:rsid w:val="00EE13A1"/>
    <w:rsid w:val="00EE43CB"/>
    <w:rsid w:val="00F006C6"/>
    <w:rsid w:val="00FA22D3"/>
    <w:rsid w:val="00FB12A1"/>
    <w:rsid w:val="00FC1F05"/>
    <w:rsid w:val="00FD5B8A"/>
    <w:rsid w:val="00FD7F96"/>
    <w:rsid w:val="00FF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4180"/>
  <w15:docId w15:val="{446715CC-1FA5-4B8E-9027-1103868B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4ED"/>
    <w:pPr>
      <w:widowControl w:val="0"/>
      <w:autoSpaceDE w:val="0"/>
      <w:autoSpaceDN w:val="0"/>
      <w:adjustRightInd w:val="0"/>
      <w:spacing w:after="0" w:line="240" w:lineRule="auto"/>
      <w:ind w:firstLine="0"/>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ED14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14ED"/>
  </w:style>
  <w:style w:type="paragraph" w:styleId="a5">
    <w:name w:val="footer"/>
    <w:basedOn w:val="a"/>
    <w:link w:val="a6"/>
    <w:uiPriority w:val="99"/>
    <w:unhideWhenUsed/>
    <w:rsid w:val="00ED14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4ED"/>
  </w:style>
  <w:style w:type="paragraph" w:styleId="a7">
    <w:name w:val="List Paragraph"/>
    <w:basedOn w:val="a"/>
    <w:uiPriority w:val="34"/>
    <w:qFormat/>
    <w:rsid w:val="00101EA8"/>
    <w:pPr>
      <w:ind w:left="720"/>
      <w:contextualSpacing/>
    </w:pPr>
  </w:style>
  <w:style w:type="paragraph" w:styleId="a8">
    <w:name w:val="footnote text"/>
    <w:basedOn w:val="a"/>
    <w:link w:val="a9"/>
    <w:uiPriority w:val="99"/>
    <w:semiHidden/>
    <w:unhideWhenUsed/>
    <w:rsid w:val="00B866E9"/>
    <w:pPr>
      <w:spacing w:after="0" w:line="240" w:lineRule="auto"/>
    </w:pPr>
    <w:rPr>
      <w:sz w:val="20"/>
      <w:szCs w:val="20"/>
    </w:rPr>
  </w:style>
  <w:style w:type="character" w:customStyle="1" w:styleId="a9">
    <w:name w:val="Текст сноски Знак"/>
    <w:basedOn w:val="a0"/>
    <w:link w:val="a8"/>
    <w:uiPriority w:val="99"/>
    <w:semiHidden/>
    <w:rsid w:val="00B866E9"/>
    <w:rPr>
      <w:sz w:val="20"/>
      <w:szCs w:val="20"/>
    </w:rPr>
  </w:style>
  <w:style w:type="character" w:styleId="aa">
    <w:name w:val="footnote reference"/>
    <w:basedOn w:val="a0"/>
    <w:uiPriority w:val="99"/>
    <w:semiHidden/>
    <w:unhideWhenUsed/>
    <w:rsid w:val="00B866E9"/>
    <w:rPr>
      <w:vertAlign w:val="superscript"/>
    </w:rPr>
  </w:style>
  <w:style w:type="character" w:customStyle="1" w:styleId="ab">
    <w:name w:val="Гипертекстовая ссылка"/>
    <w:basedOn w:val="a0"/>
    <w:uiPriority w:val="99"/>
    <w:rsid w:val="00A46952"/>
    <w:rPr>
      <w:b/>
      <w:bCs/>
      <w:color w:val="106BBE"/>
    </w:rPr>
  </w:style>
  <w:style w:type="paragraph" w:customStyle="1" w:styleId="ac">
    <w:name w:val="Нормальный (таблица)"/>
    <w:basedOn w:val="a"/>
    <w:next w:val="a"/>
    <w:uiPriority w:val="99"/>
    <w:rsid w:val="00A46952"/>
    <w:pPr>
      <w:widowControl w:val="0"/>
      <w:autoSpaceDE w:val="0"/>
      <w:autoSpaceDN w:val="0"/>
      <w:adjustRightInd w:val="0"/>
      <w:spacing w:after="0" w:line="240" w:lineRule="auto"/>
      <w:ind w:firstLine="0"/>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6920">
      <w:bodyDiv w:val="1"/>
      <w:marLeft w:val="0"/>
      <w:marRight w:val="0"/>
      <w:marTop w:val="0"/>
      <w:marBottom w:val="0"/>
      <w:divBdr>
        <w:top w:val="none" w:sz="0" w:space="0" w:color="auto"/>
        <w:left w:val="none" w:sz="0" w:space="0" w:color="auto"/>
        <w:bottom w:val="none" w:sz="0" w:space="0" w:color="auto"/>
        <w:right w:val="none" w:sz="0" w:space="0" w:color="auto"/>
      </w:divBdr>
    </w:div>
    <w:div w:id="735662897">
      <w:bodyDiv w:val="1"/>
      <w:marLeft w:val="0"/>
      <w:marRight w:val="0"/>
      <w:marTop w:val="0"/>
      <w:marBottom w:val="0"/>
      <w:divBdr>
        <w:top w:val="none" w:sz="0" w:space="0" w:color="auto"/>
        <w:left w:val="none" w:sz="0" w:space="0" w:color="auto"/>
        <w:bottom w:val="none" w:sz="0" w:space="0" w:color="auto"/>
        <w:right w:val="none" w:sz="0" w:space="0" w:color="auto"/>
      </w:divBdr>
    </w:div>
    <w:div w:id="1537351245">
      <w:bodyDiv w:val="1"/>
      <w:marLeft w:val="0"/>
      <w:marRight w:val="0"/>
      <w:marTop w:val="0"/>
      <w:marBottom w:val="0"/>
      <w:divBdr>
        <w:top w:val="none" w:sz="0" w:space="0" w:color="auto"/>
        <w:left w:val="none" w:sz="0" w:space="0" w:color="auto"/>
        <w:bottom w:val="none" w:sz="0" w:space="0" w:color="auto"/>
        <w:right w:val="none" w:sz="0" w:space="0" w:color="auto"/>
      </w:divBdr>
    </w:div>
    <w:div w:id="18209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06464/202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vo.garant.ru/document/redirect/10106464/271132" TargetMode="External"/><Relationship Id="rId4" Type="http://schemas.openxmlformats.org/officeDocument/2006/relationships/settings" Target="settings.xml"/><Relationship Id="rId9" Type="http://schemas.openxmlformats.org/officeDocument/2006/relationships/hyperlink" Target="http://ivo.garant.ru/document/redirect/10106464/27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EB73-38D3-40B7-9C0F-8F894153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3587</Words>
  <Characters>20449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Шеина Юлия Владимировна</cp:lastModifiedBy>
  <cp:revision>5</cp:revision>
  <dcterms:created xsi:type="dcterms:W3CDTF">2024-09-12T11:19:00Z</dcterms:created>
  <dcterms:modified xsi:type="dcterms:W3CDTF">2024-09-12T12:04:00Z</dcterms:modified>
</cp:coreProperties>
</file>